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1C570" w14:textId="77777777" w:rsidR="00E50996" w:rsidRDefault="00E50996" w:rsidP="00784EE2">
      <w:pPr>
        <w:rPr>
          <w:b/>
          <w:bCs/>
          <w:color w:val="000000" w:themeColor="text1"/>
        </w:rPr>
      </w:pPr>
      <w:r>
        <w:rPr>
          <w:b/>
          <w:bCs/>
          <w:noProof/>
          <w:color w:val="000000" w:themeColor="text1"/>
        </w:rPr>
        <w:drawing>
          <wp:inline distT="0" distB="0" distL="0" distR="0" wp14:anchorId="1C7B7D2B" wp14:editId="18B31738">
            <wp:extent cx="2852934" cy="862586"/>
            <wp:effectExtent l="0" t="0" r="5080" b="0"/>
            <wp:docPr id="226690995" name="Picture 1" descr="A black background with pin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90995" name="Picture 1" descr="A black background with pink lette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2934" cy="862586"/>
                    </a:xfrm>
                    <a:prstGeom prst="rect">
                      <a:avLst/>
                    </a:prstGeom>
                  </pic:spPr>
                </pic:pic>
              </a:graphicData>
            </a:graphic>
          </wp:inline>
        </w:drawing>
      </w:r>
    </w:p>
    <w:p w14:paraId="369B57C9" w14:textId="77777777" w:rsidR="00E50996" w:rsidRDefault="00E50996" w:rsidP="00784EE2">
      <w:pPr>
        <w:rPr>
          <w:b/>
          <w:bCs/>
          <w:color w:val="000000" w:themeColor="text1"/>
        </w:rPr>
      </w:pPr>
    </w:p>
    <w:p w14:paraId="1BECAEFB" w14:textId="00837A03" w:rsidR="00784EE2" w:rsidRPr="00B634A9" w:rsidRDefault="00784EE2" w:rsidP="00784EE2">
      <w:pPr>
        <w:rPr>
          <w:b/>
          <w:bCs/>
          <w:color w:val="000000" w:themeColor="text1"/>
        </w:rPr>
      </w:pPr>
      <w:r w:rsidRPr="00B634A9">
        <w:rPr>
          <w:b/>
          <w:bCs/>
          <w:color w:val="000000" w:themeColor="text1"/>
        </w:rPr>
        <w:t>Frequently Asked Questions – Comprehensive</w:t>
      </w:r>
      <w:r w:rsidR="00BA259D" w:rsidRPr="00B634A9">
        <w:rPr>
          <w:b/>
          <w:bCs/>
          <w:color w:val="000000" w:themeColor="text1"/>
        </w:rPr>
        <w:t xml:space="preserve"> Case </w:t>
      </w:r>
    </w:p>
    <w:p w14:paraId="524A41D7" w14:textId="77777777" w:rsidR="00784EE2" w:rsidRPr="00B634A9" w:rsidRDefault="00784EE2" w:rsidP="00784EE2">
      <w:pPr>
        <w:numPr>
          <w:ilvl w:val="0"/>
          <w:numId w:val="1"/>
        </w:numPr>
        <w:rPr>
          <w:color w:val="000000" w:themeColor="text1"/>
        </w:rPr>
      </w:pPr>
      <w:r w:rsidRPr="00B634A9">
        <w:rPr>
          <w:b/>
          <w:bCs/>
          <w:color w:val="000000" w:themeColor="text1"/>
        </w:rPr>
        <w:t>Is the capital campaign organized in phases? If so, what does the silent phase mean?</w:t>
      </w:r>
      <w:r w:rsidRPr="00B634A9">
        <w:rPr>
          <w:color w:val="000000" w:themeColor="text1"/>
        </w:rPr>
        <w:br/>
        <w:t>Yes, the capital campaign is organized in phases. The silent phase involves soliciting major gifts and securing significant contributions before the public launch of the campaign. This phase helps build momentum and demonstrate early success, which can inspire broader community support.</w:t>
      </w:r>
    </w:p>
    <w:p w14:paraId="1B6E2869" w14:textId="71BF36C4" w:rsidR="00784EE2" w:rsidRPr="00B634A9" w:rsidRDefault="00784EE2" w:rsidP="00784EE2">
      <w:pPr>
        <w:numPr>
          <w:ilvl w:val="0"/>
          <w:numId w:val="1"/>
        </w:numPr>
        <w:rPr>
          <w:color w:val="000000" w:themeColor="text1"/>
        </w:rPr>
      </w:pPr>
      <w:r w:rsidRPr="00B634A9">
        <w:rPr>
          <w:b/>
          <w:bCs/>
          <w:color w:val="000000" w:themeColor="text1"/>
        </w:rPr>
        <w:t>How do I donate? How can I pay for my gift or pledge?</w:t>
      </w:r>
      <w:r w:rsidRPr="00B634A9">
        <w:rPr>
          <w:color w:val="000000" w:themeColor="text1"/>
        </w:rPr>
        <w:br/>
        <w:t>Donations can be made through our website, by mail, or by contacting our philanthropy team directly. Pledge payments can be arranged through various methods including online payments, and checks. For detailed instructions, please visit our donation page or reach out to us for personalized assistance.</w:t>
      </w:r>
    </w:p>
    <w:p w14:paraId="03BD93F3" w14:textId="3651D2A5" w:rsidR="00784EE2" w:rsidRPr="00B634A9" w:rsidRDefault="00784EE2" w:rsidP="0CFFE697">
      <w:pPr>
        <w:numPr>
          <w:ilvl w:val="0"/>
          <w:numId w:val="1"/>
        </w:numPr>
        <w:rPr>
          <w:color w:val="000000" w:themeColor="text1"/>
        </w:rPr>
      </w:pPr>
      <w:r w:rsidRPr="00B634A9">
        <w:rPr>
          <w:b/>
          <w:bCs/>
          <w:color w:val="000000" w:themeColor="text1"/>
        </w:rPr>
        <w:t>Is it okay to give to the campaign in my company’s name?</w:t>
      </w:r>
      <w:r w:rsidRPr="00B634A9">
        <w:rPr>
          <w:color w:val="000000" w:themeColor="text1"/>
        </w:rPr>
        <w:br/>
        <w:t>Absolutely! We encourage corporate giving and welcome donations made in your company’s name. This can also be an opportunity for your company to gain recognition and demonstrate its commitment to community health.</w:t>
      </w:r>
      <w:r w:rsidR="4FF20CE5" w:rsidRPr="00B634A9">
        <w:rPr>
          <w:color w:val="000000" w:themeColor="text1"/>
        </w:rPr>
        <w:t xml:space="preserve"> </w:t>
      </w:r>
    </w:p>
    <w:p w14:paraId="115B4CC1" w14:textId="77777777" w:rsidR="00784EE2" w:rsidRPr="00B634A9" w:rsidRDefault="00784EE2" w:rsidP="00784EE2">
      <w:pPr>
        <w:numPr>
          <w:ilvl w:val="0"/>
          <w:numId w:val="1"/>
        </w:numPr>
        <w:rPr>
          <w:color w:val="000000" w:themeColor="text1"/>
        </w:rPr>
      </w:pPr>
      <w:r w:rsidRPr="00B634A9">
        <w:rPr>
          <w:b/>
          <w:bCs/>
          <w:color w:val="000000" w:themeColor="text1"/>
        </w:rPr>
        <w:t>What if my company has a matching gift program, does that help?</w:t>
      </w:r>
      <w:r w:rsidRPr="00B634A9">
        <w:rPr>
          <w:color w:val="000000" w:themeColor="text1"/>
        </w:rPr>
        <w:br/>
        <w:t>Yes, a matching gift program can significantly increase the impact of your donation. We encourage you to check if your company offers matching gifts and provide us with the necessary documentation to maximize your contribution.</w:t>
      </w:r>
    </w:p>
    <w:p w14:paraId="32BD77D9" w14:textId="6EB4D2E6" w:rsidR="00784EE2" w:rsidRPr="00B634A9" w:rsidRDefault="00784EE2" w:rsidP="0CFFE697">
      <w:pPr>
        <w:numPr>
          <w:ilvl w:val="0"/>
          <w:numId w:val="1"/>
        </w:numPr>
        <w:rPr>
          <w:color w:val="000000" w:themeColor="text1"/>
        </w:rPr>
      </w:pPr>
      <w:r w:rsidRPr="00B634A9">
        <w:rPr>
          <w:b/>
          <w:bCs/>
          <w:color w:val="000000" w:themeColor="text1"/>
        </w:rPr>
        <w:t>Will donors (and donation amounts) be publicly acknowledged?</w:t>
      </w:r>
      <w:r w:rsidRPr="00B634A9">
        <w:rPr>
          <w:color w:val="000000" w:themeColor="text1"/>
        </w:rPr>
        <w:br/>
        <w:t>Yes, donors will be publicly acknowledged according to their preference. We recognize and appreciate the support of our contributors, and acknowledgments will be made in campaign materials and at related events</w:t>
      </w:r>
      <w:r w:rsidR="59C9038E" w:rsidRPr="00B634A9">
        <w:rPr>
          <w:color w:val="000000" w:themeColor="text1"/>
        </w:rPr>
        <w:t xml:space="preserve">. </w:t>
      </w:r>
      <w:r w:rsidR="00BA259D" w:rsidRPr="00B634A9">
        <w:rPr>
          <w:color w:val="000000" w:themeColor="text1"/>
        </w:rPr>
        <w:t>(If preferred, donors may also remain anonymous.)</w:t>
      </w:r>
      <w:r w:rsidR="59C9038E" w:rsidRPr="00B634A9">
        <w:rPr>
          <w:color w:val="000000" w:themeColor="text1"/>
        </w:rPr>
        <w:t xml:space="preserve">  </w:t>
      </w:r>
    </w:p>
    <w:p w14:paraId="3375F839" w14:textId="75242A71" w:rsidR="00784EE2" w:rsidRPr="00B634A9" w:rsidRDefault="00784EE2" w:rsidP="0CFFE697">
      <w:pPr>
        <w:numPr>
          <w:ilvl w:val="0"/>
          <w:numId w:val="1"/>
        </w:numPr>
        <w:rPr>
          <w:color w:val="000000" w:themeColor="text1"/>
        </w:rPr>
      </w:pPr>
      <w:r w:rsidRPr="00B634A9">
        <w:rPr>
          <w:b/>
          <w:bCs/>
          <w:color w:val="000000" w:themeColor="text1"/>
        </w:rPr>
        <w:t>Are donations to the capital campaign tax deductible?</w:t>
      </w:r>
      <w:r w:rsidRPr="00B634A9">
        <w:rPr>
          <w:color w:val="000000" w:themeColor="text1"/>
        </w:rPr>
        <w:br/>
        <w:t>Yes, donations to the capital campaign are tax deductible to the extent allowed by law. We will provide you with the necessary documentation for your tax records.</w:t>
      </w:r>
      <w:r w:rsidR="3A4DF83E" w:rsidRPr="00B634A9">
        <w:rPr>
          <w:color w:val="000000" w:themeColor="text1"/>
        </w:rPr>
        <w:t xml:space="preserve">  </w:t>
      </w:r>
    </w:p>
    <w:p w14:paraId="25154871" w14:textId="77777777" w:rsidR="00784EE2" w:rsidRPr="00B634A9" w:rsidRDefault="00784EE2" w:rsidP="00784EE2">
      <w:pPr>
        <w:numPr>
          <w:ilvl w:val="0"/>
          <w:numId w:val="1"/>
        </w:numPr>
        <w:rPr>
          <w:color w:val="000000" w:themeColor="text1"/>
        </w:rPr>
      </w:pPr>
      <w:r w:rsidRPr="00B634A9">
        <w:rPr>
          <w:b/>
          <w:bCs/>
          <w:color w:val="000000" w:themeColor="text1"/>
        </w:rPr>
        <w:t>Who do I call if I have questions?</w:t>
      </w:r>
      <w:r w:rsidRPr="00B634A9">
        <w:rPr>
          <w:color w:val="000000" w:themeColor="text1"/>
        </w:rPr>
        <w:br/>
        <w:t>If you have any questions, please contact our philanthropy team at 442-257-2195 or email us at philanthropy@nhcare.org. We are happy to assist with any inquiries you may have.</w:t>
      </w:r>
    </w:p>
    <w:p w14:paraId="69FCB940" w14:textId="429B9079" w:rsidR="0CFFE697" w:rsidRPr="00B634A9" w:rsidRDefault="0CFFE697" w:rsidP="0CFFE697">
      <w:pPr>
        <w:rPr>
          <w:b/>
          <w:bCs/>
          <w:color w:val="000000" w:themeColor="text1"/>
        </w:rPr>
      </w:pPr>
    </w:p>
    <w:sectPr w:rsidR="0CFFE697" w:rsidRPr="00B63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B11F0B"/>
    <w:multiLevelType w:val="multilevel"/>
    <w:tmpl w:val="E3A6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E202AC"/>
    <w:multiLevelType w:val="hybridMultilevel"/>
    <w:tmpl w:val="E3A6FED6"/>
    <w:lvl w:ilvl="0" w:tplc="FA8668CC">
      <w:start w:val="1"/>
      <w:numFmt w:val="decimal"/>
      <w:lvlText w:val="%1."/>
      <w:lvlJc w:val="left"/>
      <w:pPr>
        <w:tabs>
          <w:tab w:val="num" w:pos="720"/>
        </w:tabs>
        <w:ind w:left="720" w:hanging="360"/>
      </w:pPr>
    </w:lvl>
    <w:lvl w:ilvl="1" w:tplc="C32AA790" w:tentative="1">
      <w:start w:val="1"/>
      <w:numFmt w:val="decimal"/>
      <w:lvlText w:val="%2."/>
      <w:lvlJc w:val="left"/>
      <w:pPr>
        <w:tabs>
          <w:tab w:val="num" w:pos="1440"/>
        </w:tabs>
        <w:ind w:left="1440" w:hanging="360"/>
      </w:pPr>
    </w:lvl>
    <w:lvl w:ilvl="2" w:tplc="B9A80FFA" w:tentative="1">
      <w:start w:val="1"/>
      <w:numFmt w:val="decimal"/>
      <w:lvlText w:val="%3."/>
      <w:lvlJc w:val="left"/>
      <w:pPr>
        <w:tabs>
          <w:tab w:val="num" w:pos="2160"/>
        </w:tabs>
        <w:ind w:left="2160" w:hanging="360"/>
      </w:pPr>
    </w:lvl>
    <w:lvl w:ilvl="3" w:tplc="276CE0F4" w:tentative="1">
      <w:start w:val="1"/>
      <w:numFmt w:val="decimal"/>
      <w:lvlText w:val="%4."/>
      <w:lvlJc w:val="left"/>
      <w:pPr>
        <w:tabs>
          <w:tab w:val="num" w:pos="2880"/>
        </w:tabs>
        <w:ind w:left="2880" w:hanging="360"/>
      </w:pPr>
    </w:lvl>
    <w:lvl w:ilvl="4" w:tplc="8DD4771A" w:tentative="1">
      <w:start w:val="1"/>
      <w:numFmt w:val="decimal"/>
      <w:lvlText w:val="%5."/>
      <w:lvlJc w:val="left"/>
      <w:pPr>
        <w:tabs>
          <w:tab w:val="num" w:pos="3600"/>
        </w:tabs>
        <w:ind w:left="3600" w:hanging="360"/>
      </w:pPr>
    </w:lvl>
    <w:lvl w:ilvl="5" w:tplc="979A824C" w:tentative="1">
      <w:start w:val="1"/>
      <w:numFmt w:val="decimal"/>
      <w:lvlText w:val="%6."/>
      <w:lvlJc w:val="left"/>
      <w:pPr>
        <w:tabs>
          <w:tab w:val="num" w:pos="4320"/>
        </w:tabs>
        <w:ind w:left="4320" w:hanging="360"/>
      </w:pPr>
    </w:lvl>
    <w:lvl w:ilvl="6" w:tplc="FC24AB60" w:tentative="1">
      <w:start w:val="1"/>
      <w:numFmt w:val="decimal"/>
      <w:lvlText w:val="%7."/>
      <w:lvlJc w:val="left"/>
      <w:pPr>
        <w:tabs>
          <w:tab w:val="num" w:pos="5040"/>
        </w:tabs>
        <w:ind w:left="5040" w:hanging="360"/>
      </w:pPr>
    </w:lvl>
    <w:lvl w:ilvl="7" w:tplc="F09C1534" w:tentative="1">
      <w:start w:val="1"/>
      <w:numFmt w:val="decimal"/>
      <w:lvlText w:val="%8."/>
      <w:lvlJc w:val="left"/>
      <w:pPr>
        <w:tabs>
          <w:tab w:val="num" w:pos="5760"/>
        </w:tabs>
        <w:ind w:left="5760" w:hanging="360"/>
      </w:pPr>
    </w:lvl>
    <w:lvl w:ilvl="8" w:tplc="E3D86AA8" w:tentative="1">
      <w:start w:val="1"/>
      <w:numFmt w:val="decimal"/>
      <w:lvlText w:val="%9."/>
      <w:lvlJc w:val="left"/>
      <w:pPr>
        <w:tabs>
          <w:tab w:val="num" w:pos="6480"/>
        </w:tabs>
        <w:ind w:left="6480" w:hanging="360"/>
      </w:pPr>
    </w:lvl>
  </w:abstractNum>
  <w:abstractNum w:abstractNumId="2" w15:restartNumberingAfterBreak="0">
    <w:nsid w:val="56C45D7B"/>
    <w:multiLevelType w:val="multilevel"/>
    <w:tmpl w:val="E3A6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1717F8"/>
    <w:multiLevelType w:val="multilevel"/>
    <w:tmpl w:val="E3A6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1A5C8C"/>
    <w:multiLevelType w:val="multilevel"/>
    <w:tmpl w:val="E3A6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1505">
    <w:abstractNumId w:val="2"/>
  </w:num>
  <w:num w:numId="2" w16cid:durableId="887032203">
    <w:abstractNumId w:val="1"/>
  </w:num>
  <w:num w:numId="3" w16cid:durableId="736050789">
    <w:abstractNumId w:val="3"/>
  </w:num>
  <w:num w:numId="4" w16cid:durableId="1136264429">
    <w:abstractNumId w:val="4"/>
  </w:num>
  <w:num w:numId="5" w16cid:durableId="788009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E2"/>
    <w:rsid w:val="00023377"/>
    <w:rsid w:val="0008518D"/>
    <w:rsid w:val="0009527C"/>
    <w:rsid w:val="001B06C6"/>
    <w:rsid w:val="00597AF0"/>
    <w:rsid w:val="0065030B"/>
    <w:rsid w:val="00672A63"/>
    <w:rsid w:val="006D2B62"/>
    <w:rsid w:val="00766745"/>
    <w:rsid w:val="00784EE2"/>
    <w:rsid w:val="00794B41"/>
    <w:rsid w:val="00AD06D0"/>
    <w:rsid w:val="00B634A9"/>
    <w:rsid w:val="00BA259D"/>
    <w:rsid w:val="00C54254"/>
    <w:rsid w:val="00CB612F"/>
    <w:rsid w:val="00CBF99F"/>
    <w:rsid w:val="00E50996"/>
    <w:rsid w:val="00F034F7"/>
    <w:rsid w:val="00F64877"/>
    <w:rsid w:val="055D6F54"/>
    <w:rsid w:val="09ADB743"/>
    <w:rsid w:val="0AA99212"/>
    <w:rsid w:val="0CFFE697"/>
    <w:rsid w:val="0D789483"/>
    <w:rsid w:val="0E11C3BA"/>
    <w:rsid w:val="0E5ABD0C"/>
    <w:rsid w:val="108A549B"/>
    <w:rsid w:val="13EE2DED"/>
    <w:rsid w:val="16AF8AA6"/>
    <w:rsid w:val="19089CF1"/>
    <w:rsid w:val="1BE63535"/>
    <w:rsid w:val="2003DA36"/>
    <w:rsid w:val="22587C7F"/>
    <w:rsid w:val="2406169D"/>
    <w:rsid w:val="260D8BC9"/>
    <w:rsid w:val="2E9881B2"/>
    <w:rsid w:val="3586C797"/>
    <w:rsid w:val="3A4DF83E"/>
    <w:rsid w:val="3B207439"/>
    <w:rsid w:val="41D6D85F"/>
    <w:rsid w:val="426EF79D"/>
    <w:rsid w:val="44936C90"/>
    <w:rsid w:val="452E2A2E"/>
    <w:rsid w:val="46ACEB37"/>
    <w:rsid w:val="4721B80E"/>
    <w:rsid w:val="4A48C5D6"/>
    <w:rsid w:val="4DC9942A"/>
    <w:rsid w:val="4E7C7D38"/>
    <w:rsid w:val="4FF20CE5"/>
    <w:rsid w:val="59C9038E"/>
    <w:rsid w:val="5B348451"/>
    <w:rsid w:val="5D3B38F8"/>
    <w:rsid w:val="5D7FBA43"/>
    <w:rsid w:val="5DFE80C4"/>
    <w:rsid w:val="64386E34"/>
    <w:rsid w:val="657FDFAE"/>
    <w:rsid w:val="67EA161B"/>
    <w:rsid w:val="7072649B"/>
    <w:rsid w:val="73962C5B"/>
    <w:rsid w:val="73EE0D16"/>
    <w:rsid w:val="7506E3F7"/>
    <w:rsid w:val="754BB47F"/>
    <w:rsid w:val="776D6D3A"/>
    <w:rsid w:val="7A4BF251"/>
    <w:rsid w:val="7A94BE2A"/>
    <w:rsid w:val="7B360694"/>
    <w:rsid w:val="7E12C1E3"/>
    <w:rsid w:val="7FEC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7A564"/>
  <w15:chartTrackingRefBased/>
  <w15:docId w15:val="{DE2B6918-8145-44F0-88B1-B3C5E3DB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E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E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E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E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E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E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E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E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E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E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E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E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E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E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E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E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E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EE2"/>
    <w:rPr>
      <w:rFonts w:eastAsiaTheme="majorEastAsia" w:cstheme="majorBidi"/>
      <w:color w:val="272727" w:themeColor="text1" w:themeTint="D8"/>
    </w:rPr>
  </w:style>
  <w:style w:type="paragraph" w:styleId="Title">
    <w:name w:val="Title"/>
    <w:basedOn w:val="Normal"/>
    <w:next w:val="Normal"/>
    <w:link w:val="TitleChar"/>
    <w:uiPriority w:val="10"/>
    <w:qFormat/>
    <w:rsid w:val="00784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E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E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E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EE2"/>
    <w:pPr>
      <w:spacing w:before="160"/>
      <w:jc w:val="center"/>
    </w:pPr>
    <w:rPr>
      <w:i/>
      <w:iCs/>
      <w:color w:val="404040" w:themeColor="text1" w:themeTint="BF"/>
    </w:rPr>
  </w:style>
  <w:style w:type="character" w:customStyle="1" w:styleId="QuoteChar">
    <w:name w:val="Quote Char"/>
    <w:basedOn w:val="DefaultParagraphFont"/>
    <w:link w:val="Quote"/>
    <w:uiPriority w:val="29"/>
    <w:rsid w:val="00784EE2"/>
    <w:rPr>
      <w:i/>
      <w:iCs/>
      <w:color w:val="404040" w:themeColor="text1" w:themeTint="BF"/>
    </w:rPr>
  </w:style>
  <w:style w:type="paragraph" w:styleId="ListParagraph">
    <w:name w:val="List Paragraph"/>
    <w:basedOn w:val="Normal"/>
    <w:uiPriority w:val="34"/>
    <w:qFormat/>
    <w:rsid w:val="00784EE2"/>
    <w:pPr>
      <w:ind w:left="720"/>
      <w:contextualSpacing/>
    </w:pPr>
  </w:style>
  <w:style w:type="character" w:styleId="IntenseEmphasis">
    <w:name w:val="Intense Emphasis"/>
    <w:basedOn w:val="DefaultParagraphFont"/>
    <w:uiPriority w:val="21"/>
    <w:qFormat/>
    <w:rsid w:val="00784EE2"/>
    <w:rPr>
      <w:i/>
      <w:iCs/>
      <w:color w:val="0F4761" w:themeColor="accent1" w:themeShade="BF"/>
    </w:rPr>
  </w:style>
  <w:style w:type="paragraph" w:styleId="IntenseQuote">
    <w:name w:val="Intense Quote"/>
    <w:basedOn w:val="Normal"/>
    <w:next w:val="Normal"/>
    <w:link w:val="IntenseQuoteChar"/>
    <w:uiPriority w:val="30"/>
    <w:qFormat/>
    <w:rsid w:val="00784E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EE2"/>
    <w:rPr>
      <w:i/>
      <w:iCs/>
      <w:color w:val="0F4761" w:themeColor="accent1" w:themeShade="BF"/>
    </w:rPr>
  </w:style>
  <w:style w:type="character" w:styleId="IntenseReference">
    <w:name w:val="Intense Reference"/>
    <w:basedOn w:val="DefaultParagraphFont"/>
    <w:uiPriority w:val="32"/>
    <w:qFormat/>
    <w:rsid w:val="00784E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051238">
      <w:bodyDiv w:val="1"/>
      <w:marLeft w:val="0"/>
      <w:marRight w:val="0"/>
      <w:marTop w:val="0"/>
      <w:marBottom w:val="0"/>
      <w:divBdr>
        <w:top w:val="none" w:sz="0" w:space="0" w:color="auto"/>
        <w:left w:val="none" w:sz="0" w:space="0" w:color="auto"/>
        <w:bottom w:val="none" w:sz="0" w:space="0" w:color="auto"/>
        <w:right w:val="none" w:sz="0" w:space="0" w:color="auto"/>
      </w:divBdr>
    </w:div>
    <w:div w:id="889536723">
      <w:bodyDiv w:val="1"/>
      <w:marLeft w:val="0"/>
      <w:marRight w:val="0"/>
      <w:marTop w:val="0"/>
      <w:marBottom w:val="0"/>
      <w:divBdr>
        <w:top w:val="none" w:sz="0" w:space="0" w:color="auto"/>
        <w:left w:val="none" w:sz="0" w:space="0" w:color="auto"/>
        <w:bottom w:val="none" w:sz="0" w:space="0" w:color="auto"/>
        <w:right w:val="none" w:sz="0" w:space="0" w:color="auto"/>
      </w:divBdr>
    </w:div>
    <w:div w:id="1802650647">
      <w:bodyDiv w:val="1"/>
      <w:marLeft w:val="0"/>
      <w:marRight w:val="0"/>
      <w:marTop w:val="0"/>
      <w:marBottom w:val="0"/>
      <w:divBdr>
        <w:top w:val="none" w:sz="0" w:space="0" w:color="auto"/>
        <w:left w:val="none" w:sz="0" w:space="0" w:color="auto"/>
        <w:bottom w:val="none" w:sz="0" w:space="0" w:color="auto"/>
        <w:right w:val="none" w:sz="0" w:space="0" w:color="auto"/>
      </w:divBdr>
    </w:div>
    <w:div w:id="192560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1777</Characters>
  <Application>Microsoft Office Word</Application>
  <DocSecurity>0</DocSecurity>
  <Lines>32</Lines>
  <Paragraphs>8</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(Rob) Gretz</dc:creator>
  <cp:keywords/>
  <dc:description/>
  <cp:lastModifiedBy>Selina Hudgins</cp:lastModifiedBy>
  <cp:revision>4</cp:revision>
  <dcterms:created xsi:type="dcterms:W3CDTF">2024-09-09T23:58:00Z</dcterms:created>
  <dcterms:modified xsi:type="dcterms:W3CDTF">2024-09-09T23:58:00Z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e38dfff2-dd44-4853-aa84-677abae57842</vt:lpwstr>
  </property>
</Properties>
</file>